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256" w:rsidRPr="00632579" w:rsidRDefault="00632579" w:rsidP="00632579">
      <w:pPr>
        <w:ind w:left="-851"/>
        <w:rPr>
          <w:rFonts w:ascii="Arial" w:hAnsi="Arial" w:cs="Arial"/>
          <w:b/>
          <w:bCs/>
          <w:sz w:val="24"/>
          <w:szCs w:val="24"/>
        </w:rPr>
      </w:pPr>
      <w:bookmarkStart w:id="0" w:name="_GoBack"/>
      <w:bookmarkEnd w:id="0"/>
      <w:r w:rsidRPr="00632579">
        <w:rPr>
          <w:rFonts w:ascii="Arial" w:hAnsi="Arial" w:cs="Arial"/>
          <w:b/>
          <w:bCs/>
          <w:sz w:val="24"/>
          <w:szCs w:val="24"/>
        </w:rPr>
        <w:t xml:space="preserve">Προσωρινή καταχώρηση ειδικών εξόδων αγοράς </w:t>
      </w:r>
      <w:r>
        <w:rPr>
          <w:rFonts w:ascii="Arial" w:hAnsi="Arial" w:cs="Arial"/>
          <w:b/>
          <w:bCs/>
          <w:sz w:val="24"/>
          <w:szCs w:val="24"/>
        </w:rPr>
        <w:t xml:space="preserve">αποθεμάτων </w:t>
      </w:r>
      <w:r w:rsidRPr="00632579">
        <w:rPr>
          <w:rFonts w:ascii="Arial" w:hAnsi="Arial" w:cs="Arial"/>
          <w:b/>
          <w:bCs/>
          <w:sz w:val="24"/>
          <w:szCs w:val="24"/>
        </w:rPr>
        <w:t>στην ομάδα 6</w:t>
      </w:r>
    </w:p>
    <w:p w:rsidR="00000000" w:rsidRPr="00632579" w:rsidRDefault="00632579" w:rsidP="00632579">
      <w:pPr>
        <w:ind w:left="-851"/>
        <w:rPr>
          <w:rFonts w:ascii="Arial" w:hAnsi="Arial" w:cs="Arial"/>
          <w:sz w:val="24"/>
          <w:szCs w:val="24"/>
        </w:rPr>
      </w:pPr>
      <w:r w:rsidRPr="00632579">
        <w:rPr>
          <w:rFonts w:ascii="Arial" w:hAnsi="Arial" w:cs="Arial"/>
          <w:sz w:val="24"/>
          <w:szCs w:val="24"/>
        </w:rPr>
        <w:t>Τα άμεσα έξοδα αγοράς αποθεμάτων καταχωρίζονται απευθείας σε χρέωση των οικείων λογαριασμών της</w:t>
      </w:r>
      <w:r w:rsidRPr="00632579">
        <w:rPr>
          <w:rFonts w:ascii="Arial" w:hAnsi="Arial" w:cs="Arial"/>
          <w:sz w:val="24"/>
          <w:szCs w:val="24"/>
        </w:rPr>
        <w:t xml:space="preserve"> ομάδας 2. </w:t>
      </w:r>
    </w:p>
    <w:p w:rsidR="00000000" w:rsidRPr="00632579" w:rsidRDefault="00632579" w:rsidP="00632579">
      <w:pPr>
        <w:ind w:left="-851"/>
        <w:rPr>
          <w:rFonts w:ascii="Arial" w:hAnsi="Arial" w:cs="Arial"/>
          <w:sz w:val="24"/>
          <w:szCs w:val="24"/>
        </w:rPr>
      </w:pPr>
      <w:r w:rsidRPr="00632579">
        <w:rPr>
          <w:rFonts w:ascii="Arial" w:hAnsi="Arial" w:cs="Arial"/>
          <w:sz w:val="24"/>
          <w:szCs w:val="24"/>
        </w:rPr>
        <w:t xml:space="preserve">Τα έξοδα αυτά, αν για οποιοδήποτε λόγο καταχωρισθούν σε λογαριασμούς εξόδων της ομάδας 6, μεταφέρονται με αντιλογισμό στους συγκεκριμένους λογαριασμούς της ομάδας 2. </w:t>
      </w:r>
    </w:p>
    <w:p w:rsidR="00000000" w:rsidRPr="00632579" w:rsidRDefault="00632579" w:rsidP="00632579">
      <w:pPr>
        <w:ind w:left="-851"/>
        <w:rPr>
          <w:rFonts w:ascii="Arial" w:hAnsi="Arial" w:cs="Arial"/>
          <w:sz w:val="24"/>
          <w:szCs w:val="24"/>
        </w:rPr>
      </w:pPr>
      <w:r w:rsidRPr="00632579">
        <w:rPr>
          <w:rFonts w:ascii="Arial" w:hAnsi="Arial" w:cs="Arial"/>
          <w:sz w:val="24"/>
          <w:szCs w:val="24"/>
        </w:rPr>
        <w:t>Η απευθείας επιβάρυνση του κόστους των αγοραζόμενων αποθεμάτων με τα άμεσα έξοδα αγορών βρίσκει τη θεωρητική της θεμελίωση στο ότι τα έξοδα αυτά συνιστούν μέρος της αξίας κτήσεως των υλικών, αφού ως αξ</w:t>
      </w:r>
      <w:r w:rsidRPr="00632579">
        <w:rPr>
          <w:rFonts w:ascii="Arial" w:hAnsi="Arial" w:cs="Arial"/>
          <w:sz w:val="24"/>
          <w:szCs w:val="24"/>
        </w:rPr>
        <w:t>ία κτήσεως των υλικών πρέπει να θεωρείται η αξία την οποία αυτά έχουν κατά την παράδοσή τους στις αποθήκες της αγοράστριας επιχειρήσεως.</w:t>
      </w:r>
    </w:p>
    <w:p w:rsidR="00000000" w:rsidRPr="00632579" w:rsidRDefault="00632579" w:rsidP="00632579">
      <w:pPr>
        <w:ind w:left="-851"/>
        <w:rPr>
          <w:rFonts w:ascii="Arial" w:hAnsi="Arial" w:cs="Arial"/>
          <w:sz w:val="24"/>
          <w:szCs w:val="24"/>
        </w:rPr>
      </w:pPr>
      <w:r w:rsidRPr="00632579">
        <w:rPr>
          <w:rFonts w:ascii="Arial" w:hAnsi="Arial" w:cs="Arial"/>
          <w:sz w:val="24"/>
          <w:szCs w:val="24"/>
        </w:rPr>
        <w:t>Εντούτοις, το Ε.Γ.Λ.Σ. προβλέπει ορισμένους λογαριασμ</w:t>
      </w:r>
      <w:r w:rsidRPr="00632579">
        <w:rPr>
          <w:rFonts w:ascii="Arial" w:hAnsi="Arial" w:cs="Arial"/>
          <w:sz w:val="24"/>
          <w:szCs w:val="24"/>
        </w:rPr>
        <w:t>ούς στην ομάδα 6, οι οποίοι προορίζονται για την παρακολούθηση εξόδων, τα οποία εμφανώς συνιστούν ειδικά έξοδα αγορών. Τέτοιοι είναι π.χ. οι λογαριασμοί:</w:t>
      </w:r>
    </w:p>
    <w:p w:rsidR="00000000" w:rsidRPr="00632579" w:rsidRDefault="00632579" w:rsidP="00632579">
      <w:pPr>
        <w:ind w:left="-851"/>
        <w:rPr>
          <w:rFonts w:ascii="Arial" w:hAnsi="Arial" w:cs="Arial"/>
          <w:sz w:val="24"/>
          <w:szCs w:val="24"/>
        </w:rPr>
      </w:pPr>
      <w:r w:rsidRPr="00632579">
        <w:rPr>
          <w:rFonts w:ascii="Arial" w:hAnsi="Arial" w:cs="Arial"/>
          <w:sz w:val="24"/>
          <w:szCs w:val="24"/>
        </w:rPr>
        <w:t>61.02.00 «Προμήθειες για αγορές»</w:t>
      </w:r>
    </w:p>
    <w:p w:rsidR="00000000" w:rsidRPr="00632579" w:rsidRDefault="00632579" w:rsidP="00632579">
      <w:pPr>
        <w:ind w:left="-851"/>
        <w:rPr>
          <w:rFonts w:ascii="Arial" w:hAnsi="Arial" w:cs="Arial"/>
          <w:sz w:val="24"/>
          <w:szCs w:val="24"/>
        </w:rPr>
      </w:pPr>
      <w:r w:rsidRPr="00632579">
        <w:rPr>
          <w:rFonts w:ascii="Arial" w:hAnsi="Arial" w:cs="Arial"/>
          <w:sz w:val="24"/>
          <w:szCs w:val="24"/>
        </w:rPr>
        <w:t>61.02.03 «Μεσιτείες» (κατά το μέρος που αφορούν αγορές)</w:t>
      </w:r>
    </w:p>
    <w:p w:rsidR="00000000" w:rsidRPr="00632579" w:rsidRDefault="00632579" w:rsidP="00632579">
      <w:pPr>
        <w:ind w:left="-851"/>
        <w:rPr>
          <w:rFonts w:ascii="Arial" w:hAnsi="Arial" w:cs="Arial"/>
          <w:sz w:val="24"/>
          <w:szCs w:val="24"/>
        </w:rPr>
      </w:pPr>
      <w:r w:rsidRPr="00632579">
        <w:rPr>
          <w:rFonts w:ascii="Arial" w:hAnsi="Arial" w:cs="Arial"/>
          <w:sz w:val="24"/>
          <w:szCs w:val="24"/>
        </w:rPr>
        <w:t>62.05.02 «Ασφάλιστρα μεταφορών» (κατά το μέρος που αφορούν αγορές)</w:t>
      </w:r>
    </w:p>
    <w:p w:rsidR="00000000" w:rsidRPr="00632579" w:rsidRDefault="00632579" w:rsidP="00632579">
      <w:pPr>
        <w:ind w:left="-851"/>
        <w:rPr>
          <w:rFonts w:ascii="Arial" w:hAnsi="Arial" w:cs="Arial"/>
          <w:sz w:val="24"/>
          <w:szCs w:val="24"/>
        </w:rPr>
      </w:pPr>
      <w:r w:rsidRPr="00632579">
        <w:rPr>
          <w:rFonts w:ascii="Arial" w:hAnsi="Arial" w:cs="Arial"/>
          <w:sz w:val="24"/>
          <w:szCs w:val="24"/>
        </w:rPr>
        <w:t>64.00.02 «Έξοδα μεταφοράς υλικών-αγαθών με μεταφορικά μέσα τρίτων»</w:t>
      </w:r>
    </w:p>
    <w:p w:rsidR="00000000" w:rsidRPr="00632579" w:rsidRDefault="00632579" w:rsidP="00632579">
      <w:pPr>
        <w:ind w:left="-851"/>
        <w:rPr>
          <w:rFonts w:ascii="Arial" w:hAnsi="Arial" w:cs="Arial"/>
          <w:sz w:val="24"/>
          <w:szCs w:val="24"/>
        </w:rPr>
      </w:pPr>
      <w:r w:rsidRPr="00632579">
        <w:rPr>
          <w:rFonts w:ascii="Arial" w:hAnsi="Arial" w:cs="Arial"/>
          <w:sz w:val="24"/>
          <w:szCs w:val="24"/>
        </w:rPr>
        <w:t>Η καταχώριση των ειδικών εξόδων αγορών κατά πρώτον στους αρμόδιους λογαριασμούς της ομάδας 6, δυνατό να κρίνεται σκόπιμη για λόγους φορολογικούς, όπως π.χ. δυνατό να συμβαίνει για ορισμένες</w:t>
      </w:r>
      <w:r w:rsidRPr="00632579">
        <w:rPr>
          <w:rFonts w:ascii="Arial" w:hAnsi="Arial" w:cs="Arial"/>
          <w:sz w:val="24"/>
          <w:szCs w:val="24"/>
        </w:rPr>
        <w:t xml:space="preserve"> αμοιβές τρίτων που δηλώνονται στη Δ.Ο.Υ., ή για τη συγκέντρωση χρήσιμων πληροφοριακών στοιχείων, όπως π.χ. σε ποιό ποσό ανήλθαν τα μεταφορικά έξοδα των αγορών. </w:t>
      </w:r>
    </w:p>
    <w:p w:rsidR="00000000" w:rsidRPr="00632579" w:rsidRDefault="00632579" w:rsidP="00632579">
      <w:pPr>
        <w:ind w:left="-851"/>
        <w:rPr>
          <w:rFonts w:ascii="Arial" w:hAnsi="Arial" w:cs="Arial"/>
          <w:sz w:val="24"/>
          <w:szCs w:val="24"/>
        </w:rPr>
      </w:pPr>
      <w:r w:rsidRPr="00632579">
        <w:rPr>
          <w:rFonts w:ascii="Arial" w:hAnsi="Arial" w:cs="Arial"/>
          <w:sz w:val="24"/>
          <w:szCs w:val="24"/>
        </w:rPr>
        <w:t>Εφόσον η επιχείρηση κάνει χρ</w:t>
      </w:r>
      <w:r w:rsidRPr="00632579">
        <w:rPr>
          <w:rFonts w:ascii="Arial" w:hAnsi="Arial" w:cs="Arial"/>
          <w:sz w:val="24"/>
          <w:szCs w:val="24"/>
        </w:rPr>
        <w:t xml:space="preserve">ήση της δυνατότητας αυτής, οφείλει στη συνέχεια να μεταφέρει τα ειδικά αυτά έξοδα από τους λογαριασμούς εξόδων της ομάδας 6 στους υπολογαριασμούς «Αγορές χρήσεως» των, κατά περίπτωση, αρμόδιων λογαριασμών της ομάδας 2. </w:t>
      </w:r>
    </w:p>
    <w:p w:rsidR="00632579" w:rsidRDefault="00632579" w:rsidP="00632579">
      <w:pPr>
        <w:ind w:left="-851"/>
      </w:pPr>
    </w:p>
    <w:sectPr w:rsidR="00632579" w:rsidSect="00632579">
      <w:pgSz w:w="11906" w:h="16838"/>
      <w:pgMar w:top="1440" w:right="849"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A13B0"/>
    <w:multiLevelType w:val="hybridMultilevel"/>
    <w:tmpl w:val="E8E66CD0"/>
    <w:lvl w:ilvl="0" w:tplc="FDD2E96E">
      <w:start w:val="1"/>
      <w:numFmt w:val="bullet"/>
      <w:lvlText w:val=""/>
      <w:lvlJc w:val="left"/>
      <w:pPr>
        <w:tabs>
          <w:tab w:val="num" w:pos="720"/>
        </w:tabs>
        <w:ind w:left="720" w:hanging="360"/>
      </w:pPr>
      <w:rPr>
        <w:rFonts w:ascii="Wingdings 2" w:hAnsi="Wingdings 2" w:hint="default"/>
      </w:rPr>
    </w:lvl>
    <w:lvl w:ilvl="1" w:tplc="B46AECAE" w:tentative="1">
      <w:start w:val="1"/>
      <w:numFmt w:val="bullet"/>
      <w:lvlText w:val=""/>
      <w:lvlJc w:val="left"/>
      <w:pPr>
        <w:tabs>
          <w:tab w:val="num" w:pos="1440"/>
        </w:tabs>
        <w:ind w:left="1440" w:hanging="360"/>
      </w:pPr>
      <w:rPr>
        <w:rFonts w:ascii="Wingdings 2" w:hAnsi="Wingdings 2" w:hint="default"/>
      </w:rPr>
    </w:lvl>
    <w:lvl w:ilvl="2" w:tplc="98E889D2" w:tentative="1">
      <w:start w:val="1"/>
      <w:numFmt w:val="bullet"/>
      <w:lvlText w:val=""/>
      <w:lvlJc w:val="left"/>
      <w:pPr>
        <w:tabs>
          <w:tab w:val="num" w:pos="2160"/>
        </w:tabs>
        <w:ind w:left="2160" w:hanging="360"/>
      </w:pPr>
      <w:rPr>
        <w:rFonts w:ascii="Wingdings 2" w:hAnsi="Wingdings 2" w:hint="default"/>
      </w:rPr>
    </w:lvl>
    <w:lvl w:ilvl="3" w:tplc="C16E437E" w:tentative="1">
      <w:start w:val="1"/>
      <w:numFmt w:val="bullet"/>
      <w:lvlText w:val=""/>
      <w:lvlJc w:val="left"/>
      <w:pPr>
        <w:tabs>
          <w:tab w:val="num" w:pos="2880"/>
        </w:tabs>
        <w:ind w:left="2880" w:hanging="360"/>
      </w:pPr>
      <w:rPr>
        <w:rFonts w:ascii="Wingdings 2" w:hAnsi="Wingdings 2" w:hint="default"/>
      </w:rPr>
    </w:lvl>
    <w:lvl w:ilvl="4" w:tplc="A0DA3954" w:tentative="1">
      <w:start w:val="1"/>
      <w:numFmt w:val="bullet"/>
      <w:lvlText w:val=""/>
      <w:lvlJc w:val="left"/>
      <w:pPr>
        <w:tabs>
          <w:tab w:val="num" w:pos="3600"/>
        </w:tabs>
        <w:ind w:left="3600" w:hanging="360"/>
      </w:pPr>
      <w:rPr>
        <w:rFonts w:ascii="Wingdings 2" w:hAnsi="Wingdings 2" w:hint="default"/>
      </w:rPr>
    </w:lvl>
    <w:lvl w:ilvl="5" w:tplc="AAAE72EE" w:tentative="1">
      <w:start w:val="1"/>
      <w:numFmt w:val="bullet"/>
      <w:lvlText w:val=""/>
      <w:lvlJc w:val="left"/>
      <w:pPr>
        <w:tabs>
          <w:tab w:val="num" w:pos="4320"/>
        </w:tabs>
        <w:ind w:left="4320" w:hanging="360"/>
      </w:pPr>
      <w:rPr>
        <w:rFonts w:ascii="Wingdings 2" w:hAnsi="Wingdings 2" w:hint="default"/>
      </w:rPr>
    </w:lvl>
    <w:lvl w:ilvl="6" w:tplc="76B6A674" w:tentative="1">
      <w:start w:val="1"/>
      <w:numFmt w:val="bullet"/>
      <w:lvlText w:val=""/>
      <w:lvlJc w:val="left"/>
      <w:pPr>
        <w:tabs>
          <w:tab w:val="num" w:pos="5040"/>
        </w:tabs>
        <w:ind w:left="5040" w:hanging="360"/>
      </w:pPr>
      <w:rPr>
        <w:rFonts w:ascii="Wingdings 2" w:hAnsi="Wingdings 2" w:hint="default"/>
      </w:rPr>
    </w:lvl>
    <w:lvl w:ilvl="7" w:tplc="4042730E" w:tentative="1">
      <w:start w:val="1"/>
      <w:numFmt w:val="bullet"/>
      <w:lvlText w:val=""/>
      <w:lvlJc w:val="left"/>
      <w:pPr>
        <w:tabs>
          <w:tab w:val="num" w:pos="5760"/>
        </w:tabs>
        <w:ind w:left="5760" w:hanging="360"/>
      </w:pPr>
      <w:rPr>
        <w:rFonts w:ascii="Wingdings 2" w:hAnsi="Wingdings 2" w:hint="default"/>
      </w:rPr>
    </w:lvl>
    <w:lvl w:ilvl="8" w:tplc="50542D02" w:tentative="1">
      <w:start w:val="1"/>
      <w:numFmt w:val="bullet"/>
      <w:lvlText w:val=""/>
      <w:lvlJc w:val="left"/>
      <w:pPr>
        <w:tabs>
          <w:tab w:val="num" w:pos="6480"/>
        </w:tabs>
        <w:ind w:left="6480" w:hanging="360"/>
      </w:pPr>
      <w:rPr>
        <w:rFonts w:ascii="Wingdings 2" w:hAnsi="Wingdings 2"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2579"/>
    <w:rsid w:val="00632579"/>
    <w:rsid w:val="00D65256"/>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9851173">
      <w:bodyDiv w:val="1"/>
      <w:marLeft w:val="0"/>
      <w:marRight w:val="0"/>
      <w:marTop w:val="0"/>
      <w:marBottom w:val="0"/>
      <w:divBdr>
        <w:top w:val="none" w:sz="0" w:space="0" w:color="auto"/>
        <w:left w:val="none" w:sz="0" w:space="0" w:color="auto"/>
        <w:bottom w:val="none" w:sz="0" w:space="0" w:color="auto"/>
        <w:right w:val="none" w:sz="0" w:space="0" w:color="auto"/>
      </w:divBdr>
      <w:divsChild>
        <w:div w:id="59254982">
          <w:marLeft w:val="432"/>
          <w:marRight w:val="0"/>
          <w:marTop w:val="67"/>
          <w:marBottom w:val="0"/>
          <w:divBdr>
            <w:top w:val="none" w:sz="0" w:space="0" w:color="auto"/>
            <w:left w:val="none" w:sz="0" w:space="0" w:color="auto"/>
            <w:bottom w:val="none" w:sz="0" w:space="0" w:color="auto"/>
            <w:right w:val="none" w:sz="0" w:space="0" w:color="auto"/>
          </w:divBdr>
        </w:div>
        <w:div w:id="1260333579">
          <w:marLeft w:val="432"/>
          <w:marRight w:val="0"/>
          <w:marTop w:val="67"/>
          <w:marBottom w:val="0"/>
          <w:divBdr>
            <w:top w:val="none" w:sz="0" w:space="0" w:color="auto"/>
            <w:left w:val="none" w:sz="0" w:space="0" w:color="auto"/>
            <w:bottom w:val="none" w:sz="0" w:space="0" w:color="auto"/>
            <w:right w:val="none" w:sz="0" w:space="0" w:color="auto"/>
          </w:divBdr>
        </w:div>
        <w:div w:id="784732566">
          <w:marLeft w:val="432"/>
          <w:marRight w:val="0"/>
          <w:marTop w:val="67"/>
          <w:marBottom w:val="0"/>
          <w:divBdr>
            <w:top w:val="none" w:sz="0" w:space="0" w:color="auto"/>
            <w:left w:val="none" w:sz="0" w:space="0" w:color="auto"/>
            <w:bottom w:val="none" w:sz="0" w:space="0" w:color="auto"/>
            <w:right w:val="none" w:sz="0" w:space="0" w:color="auto"/>
          </w:divBdr>
        </w:div>
        <w:div w:id="392705640">
          <w:marLeft w:val="432"/>
          <w:marRight w:val="0"/>
          <w:marTop w:val="67"/>
          <w:marBottom w:val="0"/>
          <w:divBdr>
            <w:top w:val="none" w:sz="0" w:space="0" w:color="auto"/>
            <w:left w:val="none" w:sz="0" w:space="0" w:color="auto"/>
            <w:bottom w:val="none" w:sz="0" w:space="0" w:color="auto"/>
            <w:right w:val="none" w:sz="0" w:space="0" w:color="auto"/>
          </w:divBdr>
        </w:div>
        <w:div w:id="1916277968">
          <w:marLeft w:val="432"/>
          <w:marRight w:val="0"/>
          <w:marTop w:val="67"/>
          <w:marBottom w:val="0"/>
          <w:divBdr>
            <w:top w:val="none" w:sz="0" w:space="0" w:color="auto"/>
            <w:left w:val="none" w:sz="0" w:space="0" w:color="auto"/>
            <w:bottom w:val="none" w:sz="0" w:space="0" w:color="auto"/>
            <w:right w:val="none" w:sz="0" w:space="0" w:color="auto"/>
          </w:divBdr>
        </w:div>
        <w:div w:id="871504478">
          <w:marLeft w:val="432"/>
          <w:marRight w:val="0"/>
          <w:marTop w:val="67"/>
          <w:marBottom w:val="0"/>
          <w:divBdr>
            <w:top w:val="none" w:sz="0" w:space="0" w:color="auto"/>
            <w:left w:val="none" w:sz="0" w:space="0" w:color="auto"/>
            <w:bottom w:val="none" w:sz="0" w:space="0" w:color="auto"/>
            <w:right w:val="none" w:sz="0" w:space="0" w:color="auto"/>
          </w:divBdr>
        </w:div>
        <w:div w:id="1389721969">
          <w:marLeft w:val="432"/>
          <w:marRight w:val="0"/>
          <w:marTop w:val="67"/>
          <w:marBottom w:val="0"/>
          <w:divBdr>
            <w:top w:val="none" w:sz="0" w:space="0" w:color="auto"/>
            <w:left w:val="none" w:sz="0" w:space="0" w:color="auto"/>
            <w:bottom w:val="none" w:sz="0" w:space="0" w:color="auto"/>
            <w:right w:val="none" w:sz="0" w:space="0" w:color="auto"/>
          </w:divBdr>
        </w:div>
        <w:div w:id="90393092">
          <w:marLeft w:val="432"/>
          <w:marRight w:val="0"/>
          <w:marTop w:val="67"/>
          <w:marBottom w:val="0"/>
          <w:divBdr>
            <w:top w:val="none" w:sz="0" w:space="0" w:color="auto"/>
            <w:left w:val="none" w:sz="0" w:space="0" w:color="auto"/>
            <w:bottom w:val="none" w:sz="0" w:space="0" w:color="auto"/>
            <w:right w:val="none" w:sz="0" w:space="0" w:color="auto"/>
          </w:divBdr>
        </w:div>
        <w:div w:id="1286347127">
          <w:marLeft w:val="432"/>
          <w:marRight w:val="0"/>
          <w:marTop w:val="67"/>
          <w:marBottom w:val="0"/>
          <w:divBdr>
            <w:top w:val="none" w:sz="0" w:space="0" w:color="auto"/>
            <w:left w:val="none" w:sz="0" w:space="0" w:color="auto"/>
            <w:bottom w:val="none" w:sz="0" w:space="0" w:color="auto"/>
            <w:right w:val="none" w:sz="0" w:space="0" w:color="auto"/>
          </w:divBdr>
        </w:div>
        <w:div w:id="671639252">
          <w:marLeft w:val="432"/>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267</Words>
  <Characters>1442</Characters>
  <Application>Microsoft Office Word</Application>
  <DocSecurity>0</DocSecurity>
  <Lines>12</Lines>
  <Paragraphs>3</Paragraphs>
  <ScaleCrop>false</ScaleCrop>
  <Company>Hewlett-Packard Company</Company>
  <LinksUpToDate>false</LinksUpToDate>
  <CharactersWithSpaces>1706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Nondas</dc:creator>
  <cp:lastModifiedBy>Nondas</cp:lastModifiedBy>
  <cp:revision>1</cp:revision>
  <dcterms:created xsi:type="dcterms:W3CDTF">2017-01-29T16:41:00Z</dcterms:created>
  <dcterms:modified xsi:type="dcterms:W3CDTF">2017-01-29T16:44:00Z</dcterms:modified>
</cp:coreProperties>
</file>